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F1AA5" w:rsidTr="00646558" w14:paraId="1B253713" w14:textId="77777777">
        <w:tc>
          <w:tcPr>
            <w:tcW w:w="3168" w:type="dxa"/>
            <w:shd w:val="clear" w:color="auto" w:fill="auto"/>
          </w:tcPr>
          <w:p w:rsidRPr="00AC5772" w:rsidR="00BF1AA5" w:rsidP="00BF1AA5" w:rsidRDefault="000C4BE6" w14:paraId="7BCA22E2" w14:textId="08246067">
            <w:pPr>
              <w:spacing w:line="300" w:lineRule="atLeast"/>
              <w:rPr>
                <w:i/>
                <w:lang w:val="en-US" w:eastAsia="sv-SE"/>
              </w:rPr>
            </w:pPr>
            <w:r>
              <w:rPr>
                <w:i/>
                <w:lang w:val="en-US" w:eastAsia="sv-SE"/>
              </w:rPr>
              <w:t>Glass</w:t>
            </w:r>
          </w:p>
          <w:p w:rsidRPr="00142902" w:rsidR="00BF1AA5" w:rsidP="00BF1AA5" w:rsidRDefault="00BF1AA5" w14:paraId="4F8CFDC2" w14:textId="77777777">
            <w:pPr>
              <w:spacing w:line="300" w:lineRule="atLeast"/>
              <w:rPr>
                <w:i/>
                <w:lang w:eastAsia="sv-SE"/>
              </w:rPr>
            </w:pPr>
          </w:p>
        </w:tc>
        <w:tc>
          <w:tcPr>
            <w:tcW w:w="1618" w:type="dxa"/>
            <w:shd w:val="clear" w:color="auto" w:fill="auto"/>
          </w:tcPr>
          <w:p w:rsidRPr="00142902" w:rsidR="00BF1AA5" w:rsidP="00BF1AA5" w:rsidRDefault="00BF1AA5" w14:paraId="6EEFE6C5" w14:textId="3797A00D">
            <w:pPr>
              <w:spacing w:line="300" w:lineRule="atLeast"/>
              <w:rPr>
                <w:i/>
                <w:lang w:eastAsia="sv-SE"/>
              </w:rPr>
            </w:pPr>
            <w:r w:rsidRPr="00AC5772">
              <w:rPr>
                <w:i/>
                <w:lang w:val="en-US" w:eastAsia="sv-SE"/>
              </w:rPr>
              <w:t>PS</w:t>
            </w:r>
          </w:p>
        </w:tc>
        <w:tc>
          <w:tcPr>
            <w:tcW w:w="2771" w:type="dxa"/>
            <w:shd w:val="clear" w:color="auto" w:fill="auto"/>
          </w:tcPr>
          <w:p w:rsidRPr="00142902" w:rsidR="00BF1AA5" w:rsidP="00BF1AA5" w:rsidRDefault="00BF1AA5" w14:paraId="047517F8" w14:textId="77777777">
            <w:pPr>
              <w:spacing w:line="300" w:lineRule="atLeast"/>
              <w:rPr>
                <w:i/>
                <w:lang w:eastAsia="sv-SE"/>
              </w:rPr>
            </w:pPr>
            <w:bookmarkStart w:name="ArtNo" w:id="0"/>
            <w:r>
              <w:rPr>
                <w:b/>
              </w:rPr>
              <w:t>157175</w:t>
            </w:r>
            <w:bookmarkEnd w:id="0"/>
          </w:p>
        </w:tc>
      </w:tr>
    </w:tbl>
    <w:p w:rsidRPr="00142902" w:rsidR="00B73B7C" w:rsidP="00B73B7C" w:rsidRDefault="00B73B7C" w14:paraId="7DBE8D4B" w14:textId="77777777"/>
    <w:p w:rsidRPr="00142902" w:rsidR="00B73B7C" w:rsidP="00B73B7C" w:rsidRDefault="00B73B7C" w14:paraId="123F7BB2" w14:textId="77777777">
      <w:r w:rsidRPr="00142902">
        <w:t xml:space="preserve">Duni declares that the article meets the requirements of: </w:t>
      </w:r>
    </w:p>
    <w:p w:rsidR="00B73B7C" w:rsidP="00B73B7C" w:rsidRDefault="000314C5" w14:paraId="4A2C4862" w14:textId="3FB2D1AC">
      <w:pPr>
        <w:numPr>
          <w:ilvl w:val="0"/>
          <w:numId w:val="21"/>
        </w:numPr>
      </w:pPr>
      <w:r w:rsidRPr="000314C5">
        <w:t xml:space="preserve">Article 3, 11(5), 15 and 17 of Regulation (EC) No 1935/2004 (Framework regulation) </w:t>
      </w:r>
      <w:r w:rsidRPr="00142902" w:rsidR="00B73B7C">
        <w:t>EU Regulation 2023/2006/EC (GMP)</w:t>
      </w:r>
    </w:p>
    <w:p w:rsidRPr="00142902" w:rsidR="00703A88" w:rsidP="00703A88" w:rsidRDefault="00703A88" w14:paraId="4A228E86" w14:textId="5117260E">
      <w:pPr>
        <w:pStyle w:val="ListParagraph"/>
        <w:numPr>
          <w:ilvl w:val="0"/>
          <w:numId w:val="21"/>
        </w:numPr>
      </w:pPr>
      <w:r w:rsidRPr="001C61A7">
        <w:t>EU Regulation 2023/2006/EC</w:t>
      </w:r>
      <w:r>
        <w:t xml:space="preserve"> (GMP)</w:t>
      </w:r>
    </w:p>
    <w:p w:rsidRPr="00142902" w:rsidR="00B73B7C" w:rsidP="00B73B7C" w:rsidRDefault="00B73B7C" w14:paraId="1FE1BBEF" w14:textId="77777777">
      <w:pPr>
        <w:numPr>
          <w:ilvl w:val="0"/>
          <w:numId w:val="21"/>
        </w:numPr>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According to the above mentioned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000C4BE6" w:rsidP="000C4BE6" w:rsidRDefault="000C4BE6" w14:paraId="02EB2576" w14:textId="77777777">
      <w:r>
        <w:t>T</w:t>
      </w:r>
      <w:r w:rsidRPr="000130A0">
        <w:t>he product does not contain any monomers or additives with restrictions to regulation 10/2011/EC.</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000C4BE6" w:rsidP="000C4BE6" w:rsidRDefault="000C4BE6" w14:paraId="6066A95F" w14:textId="77777777">
      <w:r w:rsidRPr="007F0ED9">
        <w:t>Based on the migration tests and</w:t>
      </w:r>
      <w:r>
        <w:t xml:space="preserve"> Declaration of Compliance, the product</w:t>
      </w:r>
      <w:r w:rsidRPr="007F0ED9">
        <w:t xml:space="preserve"> can be used safely with all types of </w:t>
      </w:r>
      <w:r>
        <w:t xml:space="preserve">beverages, serving cold and hot </w:t>
      </w:r>
      <w:r w:rsidRPr="007F0ED9">
        <w:t xml:space="preserve">up </w:t>
      </w:r>
      <w:r>
        <w:t>9</w:t>
      </w:r>
      <w:r w:rsidRPr="007F0ED9">
        <w:t>0°C</w:t>
      </w:r>
      <w:r>
        <w:t xml:space="preserve"> (</w:t>
      </w:r>
      <w:proofErr w:type="spellStart"/>
      <w:r>
        <w:t>hotfill</w:t>
      </w:r>
      <w:proofErr w:type="spellEnd"/>
      <w:r>
        <w:t xml:space="preserve"> after which the beverage cools down). </w:t>
      </w:r>
    </w:p>
    <w:p w:rsidR="000C4BE6" w:rsidP="000C4BE6" w:rsidRDefault="000C4BE6" w14:paraId="5D7C981F" w14:textId="77777777"/>
    <w:p w:rsidR="000C4BE6" w:rsidP="000C4BE6" w:rsidRDefault="000C4BE6" w14:paraId="0FE4CBB6" w14:textId="77777777">
      <w:r>
        <w:t>However, due to the nature of the product, hot drinks should not be served in the glass because of the risk of burns.</w:t>
      </w:r>
    </w:p>
    <w:p w:rsidRPr="000C4BE6" w:rsidR="00BF1AA5" w:rsidP="00BF1AA5" w:rsidRDefault="00BF1AA5" w14:paraId="766A73A4" w14:textId="77777777"/>
    <w:p w:rsidRPr="00F978B1" w:rsidR="00BF1AA5" w:rsidP="00BF1AA5" w:rsidRDefault="00BF1AA5" w14:paraId="6CE3548F" w14:textId="62E833AC">
      <w:pPr>
        <w:rPr>
          <w:lang w:val="en-US"/>
        </w:rPr>
      </w:pPr>
      <w:r>
        <w:rPr>
          <w:lang w:val="en-US"/>
        </w:rPr>
        <w:t xml:space="preserve">The </w:t>
      </w:r>
      <w:r w:rsidR="000C4BE6">
        <w:rPr>
          <w:lang w:val="en-US"/>
        </w:rPr>
        <w:t>glass is</w:t>
      </w:r>
      <w:r>
        <w:rPr>
          <w:lang w:val="en-US"/>
        </w:rPr>
        <w:t xml:space="preserve"> not suitable to use in microwave oven.</w:t>
      </w:r>
    </w:p>
    <w:p w:rsidRPr="00142902" w:rsidR="00B73B7C" w:rsidP="00703A88" w:rsidRDefault="00B73B7C" w14:paraId="5E31ADFD" w14:textId="0699785F">
      <w:pPr>
        <w:rPr>
          <w:b/>
        </w:rPr>
      </w:pPr>
      <w:r w:rsidRPr="00142902">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000C4BE6" w:rsidP="000C4BE6" w:rsidRDefault="000C4BE6" w14:paraId="29074E64" w14:textId="77777777">
      <w:pPr>
        <w:rPr>
          <w:i/>
          <w:lang w:val="en-US"/>
        </w:rPr>
      </w:pPr>
    </w:p>
    <w:p w:rsidRPr="00C02F1A" w:rsidR="000C4BE6" w:rsidP="000C4BE6" w:rsidRDefault="000C4BE6" w14:paraId="18571C23" w14:textId="77777777">
      <w:pPr>
        <w:rPr>
          <w:i/>
          <w:lang w:val="en-US"/>
        </w:rPr>
      </w:pPr>
      <w:r w:rsidRPr="00C02F1A">
        <w:rPr>
          <w:i/>
          <w:lang w:val="en-US"/>
        </w:rPr>
        <w:tab/>
      </w:r>
      <w:r>
        <w:rPr>
          <w:i/>
          <w:lang w:val="en-US"/>
        </w:rPr>
        <w:tab/>
      </w:r>
      <w:r>
        <w:rPr>
          <w:i/>
          <w:lang w:val="en-US"/>
        </w:rPr>
        <w:tab/>
      </w:r>
      <w:r>
        <w:rPr>
          <w:i/>
          <w:lang w:val="en-US"/>
        </w:rPr>
        <w:tab/>
      </w:r>
      <w:r w:rsidRPr="00C02F1A">
        <w:rPr>
          <w:i/>
          <w:lang w:val="en-US"/>
        </w:rPr>
        <w:t>3% Acetic acid</w:t>
      </w:r>
      <w:r w:rsidRPr="00C02F1A">
        <w:rPr>
          <w:i/>
          <w:lang w:val="en-US"/>
        </w:rPr>
        <w:tab/>
        <w:t>2 hours at 70°C and 10 days at 40°C</w:t>
      </w:r>
    </w:p>
    <w:p w:rsidRPr="00C02F1A" w:rsidR="000C4BE6" w:rsidP="000C4BE6" w:rsidRDefault="000C4BE6" w14:paraId="60DF1AF8" w14:textId="77777777">
      <w:pPr>
        <w:rPr>
          <w:i/>
          <w:lang w:val="en-US"/>
        </w:rPr>
      </w:pPr>
      <w:r w:rsidRPr="00C02F1A">
        <w:rPr>
          <w:i/>
          <w:lang w:val="en-US"/>
        </w:rPr>
        <w:tab/>
      </w:r>
      <w:r w:rsidRPr="00C02F1A">
        <w:rPr>
          <w:i/>
          <w:lang w:val="en-US"/>
        </w:rPr>
        <w:tab/>
      </w:r>
      <w:r w:rsidRPr="00C02F1A">
        <w:rPr>
          <w:i/>
          <w:lang w:val="en-US"/>
        </w:rPr>
        <w:tab/>
      </w:r>
      <w:r w:rsidRPr="00C02F1A">
        <w:rPr>
          <w:i/>
          <w:lang w:val="en-US"/>
        </w:rPr>
        <w:tab/>
        <w:t>50 % Ethanol</w:t>
      </w:r>
      <w:r w:rsidRPr="00C02F1A">
        <w:rPr>
          <w:i/>
          <w:lang w:val="en-US"/>
        </w:rPr>
        <w:tab/>
        <w:t>2 hours at 70°C and 10 days at 40°C</w:t>
      </w:r>
    </w:p>
    <w:p w:rsidRPr="00F978B1" w:rsidR="000C4BE6" w:rsidP="000C4BE6" w:rsidRDefault="000C4BE6" w14:paraId="6A1A7508" w14:textId="77777777">
      <w:pPr>
        <w:ind w:left="1701" w:firstLine="567"/>
        <w:rPr>
          <w:i/>
          <w:lang w:val="en-US"/>
        </w:rPr>
      </w:pPr>
      <w:r w:rsidRPr="00C02F1A">
        <w:rPr>
          <w:i/>
          <w:lang w:val="en-US"/>
        </w:rPr>
        <w:t>Olive oil</w:t>
      </w:r>
      <w:r w:rsidRPr="00C02F1A">
        <w:rPr>
          <w:i/>
          <w:lang w:val="en-US"/>
        </w:rPr>
        <w:tab/>
      </w:r>
      <w:r w:rsidRPr="00C02F1A">
        <w:rPr>
          <w:i/>
          <w:lang w:val="en-US"/>
        </w:rPr>
        <w:tab/>
        <w:t>2 hours at 70°C and 10 days at 40°C</w:t>
      </w:r>
    </w:p>
    <w:p w:rsidRPr="00BF1AA5" w:rsidR="00703A88" w:rsidP="00703A88" w:rsidRDefault="00703A88" w14:paraId="3A8DAE9C" w14:textId="77777777">
      <w:pPr>
        <w:rPr>
          <w:i/>
          <w:lang w:val="en-US"/>
        </w:rPr>
      </w:pPr>
    </w:p>
    <w:p w:rsidRPr="00142902" w:rsidR="00B73B7C" w:rsidP="00B73B7C" w:rsidRDefault="00B73B7C" w14:paraId="246B5F9E" w14:textId="77777777"/>
    <w:p w:rsidR="00B73B7C" w:rsidP="00B73B7C" w:rsidRDefault="00201E40" w14:paraId="1C3E183D" w14:textId="5F9516DB">
      <w:r w:rsidRPr="00201E40">
        <w:t xml:space="preserve">The ratio of food contact surface area to volume used is </w:t>
      </w:r>
      <w:r w:rsidR="000C4BE6">
        <w:t>6</w:t>
      </w:r>
      <w:r w:rsidRPr="00201E40">
        <w:t xml:space="preserve"> dm²/kg</w:t>
      </w:r>
    </w:p>
    <w:p w:rsidRPr="00142902" w:rsidR="00201E40" w:rsidP="00B73B7C" w:rsidRDefault="00201E40" w14:paraId="34432EA8"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C4BE6"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15B68A10" w:rsidR="00B73B7C" w:rsidRDefault="00B73B7C" w:rsidP="00B73B7C">
          <w:pPr>
            <w:pStyle w:val="Header"/>
            <w:jc w:val="right"/>
          </w:pPr>
          <w:r>
            <w:t xml:space="preserve">Issued </w:t>
          </w:r>
          <w:r w:rsidR="00BF1AA5">
            <w:t>2021-</w:t>
          </w:r>
          <w:r w:rsidR="002970B9">
            <w:t>11-09</w:t>
          </w:r>
        </w:p>
        <w:p w14:paraId="08CA9F34" w14:textId="4825BE8A" w:rsidR="00B73B7C" w:rsidRDefault="00B73B7C" w:rsidP="00B73B7C">
          <w:pPr>
            <w:pStyle w:val="Header"/>
            <w:jc w:val="right"/>
          </w:pPr>
          <w:r>
            <w:t xml:space="preserve">Valid to </w:t>
          </w:r>
          <w:r w:rsidR="00703A88">
            <w:t>2023-</w:t>
          </w:r>
          <w:r w:rsidR="002970B9">
            <w:t>11-09</w:t>
          </w:r>
        </w:p>
        <w:p w14:paraId="305E0F74" w14:textId="364C6FE1" w:rsidR="00D91429" w:rsidRDefault="00B73B7C" w:rsidP="00B73B7C">
          <w:pPr>
            <w:pStyle w:val="Header"/>
            <w:jc w:val="right"/>
          </w:pPr>
          <w:r>
            <w:t>Ver. 0</w:t>
          </w:r>
          <w:r w:rsidR="002970B9">
            <w:t>3</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2432"/>
    <w:rsid w:val="000A5678"/>
    <w:rsid w:val="000A6429"/>
    <w:rsid w:val="000A736B"/>
    <w:rsid w:val="000B0D5E"/>
    <w:rsid w:val="000B240E"/>
    <w:rsid w:val="000B3049"/>
    <w:rsid w:val="000B44E1"/>
    <w:rsid w:val="000C3C6A"/>
    <w:rsid w:val="000C4BE6"/>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1E40"/>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0B9"/>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6D1"/>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1AA5"/>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6899"/>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338A-63A0-4675-8CC1-FD74CBBA5646}">
  <ds:schemaRefs>
    <ds:schemaRef ds:uri="http://purl.org/dc/dcmitype/"/>
    <ds:schemaRef ds:uri="http://www.w3.org/XML/1998/namespace"/>
    <ds:schemaRef ds:uri="http://purl.org/dc/elements/1.1/"/>
    <ds:schemaRef ds:uri="a2158ebd-4a61-46c2-9e5a-780f6e766b9f"/>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bedf33b-10a2-4680-81d7-9b2d8be85e7c"/>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2</TotalTime>
  <Pages>2</Pages>
  <Words>300</Words>
  <Characters>1567</Characters>
  <Application>Microsoft Office Word</Application>
  <DocSecurity>2</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2021-11-11T09:10:00Z</cp:lastPrinted>
  <dcterms:created xsi:type="dcterms:W3CDTF">2021-11-11T09:07:00Z</dcterms:created>
  <dcterms:modified xsi:type="dcterms:W3CDTF">2021-11-11T09:11:00Z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