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097B" w:rsidP="0057097B" w:rsidRDefault="0057097B" w14:paraId="52E19B14" w14:textId="5DD54556">
      <w:pPr>
        <w:rPr>
          <w:b/>
          <w:lang w:val="en-US"/>
        </w:rPr>
      </w:pPr>
      <w:bookmarkStart w:name="_Hlk49076764" w:id="0"/>
    </w:p>
    <w:p w:rsidRPr="0057097B" w:rsidR="00A27A27" w:rsidP="0057097B" w:rsidRDefault="00A27A27" w14:paraId="59D1D25A" w14:textId="77777777">
      <w:pPr>
        <w:rPr>
          <w:b/>
          <w:lang w:val="en-US"/>
        </w:rPr>
      </w:pPr>
    </w:p>
    <w:p w:rsidR="0057097B" w:rsidP="0057097B" w:rsidRDefault="0057097B" w14:paraId="34072F39" w14:textId="1C63E64E">
      <w:pPr>
        <w:jc w:val="center"/>
        <w:rPr>
          <w:b/>
          <w:lang w:val="en-US"/>
        </w:rPr>
      </w:pPr>
      <w:r w:rsidRPr="0057097B">
        <w:rPr>
          <w:b/>
          <w:lang w:val="en-US"/>
        </w:rPr>
        <w:t>DECLARATION OF COMPLIANCE</w:t>
      </w:r>
    </w:p>
    <w:p w:rsidRPr="0057097B" w:rsidR="00374DD8" w:rsidP="00374DD8" w:rsidRDefault="00374DD8" w14:paraId="0F69F3CB" w14:textId="77777777">
      <w:pPr>
        <w:rPr>
          <w:b/>
          <w:lang w:val="en-US"/>
        </w:rPr>
      </w:pP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731DF2"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731DF2" w:rsidP="00731DF2" w:rsidRDefault="00731DF2" w14:paraId="44F509A5" w14:textId="77777777">
            <w:pPr>
              <w:spacing w:line="300" w:lineRule="atLeast"/>
              <w:rPr>
                <w:i/>
                <w:lang w:eastAsia="sv-SE"/>
              </w:rPr>
            </w:pPr>
            <w:r w:rsidRPr="007F3336">
              <w:rPr>
                <w:i/>
                <w:lang w:eastAsia="sv-SE"/>
              </w:rPr>
              <w:t>Cling Film</w:t>
            </w:r>
          </w:p>
          <w:p w:rsidRPr="0057097B" w:rsidR="00731DF2" w:rsidP="00731DF2" w:rsidRDefault="00731DF2"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57097B" w:rsidR="00731DF2" w:rsidP="00731DF2" w:rsidRDefault="00DE6FF3" w14:paraId="77D6AC9A" w14:textId="6703C1C4">
            <w:pPr>
              <w:rPr>
                <w:i/>
                <w:lang w:val="en-US"/>
              </w:rPr>
            </w:pPr>
            <w:r>
              <w:rPr>
                <w:i/>
                <w:lang w:val="en-US"/>
              </w:rPr>
              <w:t>PVC</w:t>
            </w:r>
          </w:p>
        </w:tc>
        <w:tc>
          <w:tcPr>
            <w:tcW w:w="2771" w:type="dxa"/>
            <w:tcBorders>
              <w:top w:val="single" w:color="auto" w:sz="4" w:space="0"/>
              <w:left w:val="single" w:color="auto" w:sz="4" w:space="0"/>
              <w:bottom w:val="single" w:color="auto" w:sz="4" w:space="0"/>
              <w:right w:val="single" w:color="auto" w:sz="4" w:space="0"/>
            </w:tcBorders>
          </w:tcPr>
          <w:p w:rsidRPr="0057097B" w:rsidR="00731DF2" w:rsidP="00731DF2" w:rsidRDefault="00731DF2" w14:paraId="01A881C4" w14:textId="77777777">
            <w:pPr>
              <w:rPr>
                <w:i/>
                <w:lang w:val="en-US"/>
              </w:rPr>
            </w:pPr>
            <w:bookmarkStart w:name="ArtNo" w:id="1"/>
            <w:r>
              <w:rPr>
                <w:b/>
              </w:rPr>
              <w:t>716000</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00731DF2" w:rsidP="00731DF2" w:rsidRDefault="00731DF2" w14:paraId="3CBBCD11" w14:textId="77777777">
      <w:pPr>
        <w:rPr>
          <w:lang w:val="en-US"/>
        </w:rPr>
      </w:pPr>
      <w:r w:rsidRPr="00E620DB">
        <w:rPr>
          <w:lang w:val="en-US"/>
        </w:rPr>
        <w:t xml:space="preserve">This article contains monomers or additives subject to restrictions under the plastic regulation 10/2011 and its amendments. A specific migration test proves that these are within the limits. If more information regarding the monomers or additives are </w:t>
      </w:r>
      <w:proofErr w:type="gramStart"/>
      <w:r w:rsidRPr="00E620DB">
        <w:rPr>
          <w:lang w:val="en-US"/>
        </w:rPr>
        <w:t>needed</w:t>
      </w:r>
      <w:proofErr w:type="gramEnd"/>
      <w:r w:rsidRPr="00E620DB">
        <w:rPr>
          <w:lang w:val="en-US"/>
        </w:rPr>
        <w:t xml:space="preserve"> please contact Duni AB.</w:t>
      </w:r>
    </w:p>
    <w:p w:rsidR="00731DF2" w:rsidP="0057097B" w:rsidRDefault="00731DF2" w14:paraId="22F682D9" w14:textId="77777777">
      <w:pPr>
        <w:rPr>
          <w:b/>
          <w:lang w:val="en-US"/>
        </w:rPr>
      </w:pPr>
    </w:p>
    <w:p w:rsidRPr="0057097B" w:rsidR="0057097B" w:rsidP="0057097B" w:rsidRDefault="0057097B" w14:paraId="34C6C71F" w14:textId="3CA1B701">
      <w:pPr>
        <w:rPr>
          <w:b/>
        </w:rPr>
      </w:pPr>
      <w:r w:rsidRPr="0057097B">
        <w:rPr>
          <w:b/>
        </w:rPr>
        <w:t>Area of use</w:t>
      </w:r>
    </w:p>
    <w:p w:rsidRPr="007F3336" w:rsidR="00DE6FF3" w:rsidP="00DE6FF3" w:rsidRDefault="00DE6FF3" w14:paraId="446CC1D0" w14:textId="77777777">
      <w:pPr>
        <w:rPr>
          <w:lang w:val="en-US"/>
        </w:rPr>
      </w:pPr>
      <w:r w:rsidRPr="00C179E5">
        <w:rPr>
          <w:lang w:val="en-US"/>
        </w:rPr>
        <w:t>Based on the migration tests and Declaration of Compliance, the article can be used safely with all types of foodstuffs except 100% fat or foods preserved in oil</w:t>
      </w:r>
      <w:r>
        <w:rPr>
          <w:lang w:val="en-US"/>
        </w:rPr>
        <w:t xml:space="preserve"> </w:t>
      </w:r>
      <w:r w:rsidRPr="007F3336">
        <w:rPr>
          <w:lang w:val="en-US"/>
        </w:rPr>
        <w:t>under the following application:</w:t>
      </w:r>
    </w:p>
    <w:p w:rsidRPr="007F3336" w:rsidR="00DE6FF3" w:rsidP="00DE6FF3" w:rsidRDefault="00DE6FF3" w14:paraId="1B540FD2" w14:textId="77777777">
      <w:pPr>
        <w:numPr>
          <w:ilvl w:val="0"/>
          <w:numId w:val="22"/>
        </w:numPr>
        <w:rPr>
          <w:lang w:val="en-US"/>
        </w:rPr>
      </w:pPr>
      <w:r w:rsidRPr="007F3336">
        <w:rPr>
          <w:lang w:val="en-US"/>
        </w:rPr>
        <w:t>Any long period storage at room temperature or below</w:t>
      </w:r>
    </w:p>
    <w:p w:rsidRPr="007F3336" w:rsidR="00DE6FF3" w:rsidP="00DE6FF3" w:rsidRDefault="00DE6FF3" w14:paraId="02EFBB2B" w14:textId="77777777">
      <w:pPr>
        <w:numPr>
          <w:ilvl w:val="0"/>
          <w:numId w:val="22"/>
        </w:numPr>
        <w:rPr>
          <w:lang w:val="en-US"/>
        </w:rPr>
      </w:pPr>
      <w:r w:rsidRPr="007F3336">
        <w:rPr>
          <w:lang w:val="en-US"/>
        </w:rPr>
        <w:t>Including heating up to 70°c for up to 2 hours, or heating up to 100°C for up to 15 minutes</w:t>
      </w:r>
    </w:p>
    <w:p w:rsidR="00DE6FF3" w:rsidP="00DE6FF3" w:rsidRDefault="00DE6FF3" w14:paraId="41EC05DC" w14:textId="77777777">
      <w:pPr>
        <w:rPr>
          <w:lang w:val="en-US"/>
        </w:rPr>
      </w:pPr>
    </w:p>
    <w:p w:rsidRPr="007F3336" w:rsidR="00DE6FF3" w:rsidP="00DE6FF3" w:rsidRDefault="00DE6FF3" w14:paraId="16A9AD55" w14:textId="77777777">
      <w:pPr>
        <w:rPr>
          <w:lang w:val="en-US"/>
        </w:rPr>
      </w:pPr>
      <w:r w:rsidRPr="00CA2485">
        <w:rPr>
          <w:lang w:val="en-US"/>
        </w:rPr>
        <w:t xml:space="preserve">The </w:t>
      </w:r>
      <w:r>
        <w:rPr>
          <w:lang w:val="en-US"/>
        </w:rPr>
        <w:t xml:space="preserve">film is </w:t>
      </w:r>
      <w:r w:rsidRPr="00CA2485">
        <w:rPr>
          <w:lang w:val="en-US"/>
        </w:rPr>
        <w:t>not suitable to be used in a microwave oven.</w:t>
      </w:r>
    </w:p>
    <w:p w:rsidRPr="0057097B" w:rsidR="0057097B" w:rsidP="0057097B" w:rsidRDefault="0057097B" w14:paraId="02AA66A6" w14:textId="77777777">
      <w:pPr>
        <w:rPr>
          <w:b/>
        </w:rPr>
      </w:pPr>
      <w:r w:rsidRPr="0057097B">
        <w:rPr>
          <w:b/>
        </w:rPr>
        <w:br w:type="page"/>
      </w:r>
    </w:p>
    <w:p w:rsidRPr="0057097B" w:rsidR="0057097B" w:rsidP="0057097B" w:rsidRDefault="0057097B" w14:paraId="5E308F92" w14:textId="77777777">
      <w:pPr>
        <w:rPr>
          <w:b/>
        </w:rPr>
      </w:pPr>
      <w:r w:rsidRPr="0057097B">
        <w:rPr>
          <w:b/>
        </w:rPr>
        <w:lastRenderedPageBreak/>
        <w:t>Test conditions</w:t>
      </w:r>
    </w:p>
    <w:p w:rsidR="0057097B" w:rsidP="0057097B" w:rsidRDefault="0057097B" w14:paraId="0800C6C3" w14:textId="44A367CA">
      <w:pPr>
        <w:rPr>
          <w:lang w:val="en-US"/>
        </w:rPr>
      </w:pPr>
      <w:r w:rsidRPr="0057097B">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57097B" w:rsidR="005E1731" w:rsidP="0057097B" w:rsidRDefault="005E1731" w14:paraId="4BD18AD2" w14:textId="77777777">
      <w:pPr>
        <w:rPr>
          <w:lang w:val="en-US"/>
        </w:rPr>
      </w:pPr>
    </w:p>
    <w:p w:rsidR="00DE6FF3" w:rsidP="00DE6FF3" w:rsidRDefault="00DE6FF3" w14:paraId="3D064FB8" w14:textId="77777777">
      <w:pPr>
        <w:rPr>
          <w:i/>
          <w:lang w:val="en-US"/>
        </w:rPr>
      </w:pPr>
      <w:r>
        <w:rPr>
          <w:i/>
          <w:lang w:val="en-US"/>
        </w:rPr>
        <w:t>Overall migration</w:t>
      </w:r>
      <w:r>
        <w:rPr>
          <w:i/>
          <w:lang w:val="en-US"/>
        </w:rPr>
        <w:tab/>
      </w:r>
      <w:r>
        <w:rPr>
          <w:i/>
          <w:lang w:val="en-US"/>
        </w:rPr>
        <w:tab/>
      </w:r>
      <w:r>
        <w:rPr>
          <w:i/>
          <w:lang w:val="en-US"/>
        </w:rPr>
        <w:tab/>
      </w:r>
    </w:p>
    <w:p w:rsidR="00DE6FF3" w:rsidP="00DE6FF3" w:rsidRDefault="00DE6FF3" w14:paraId="362D2AB3" w14:textId="77777777">
      <w:pPr>
        <w:ind w:left="1548" w:firstLine="720"/>
        <w:rPr>
          <w:i/>
          <w:lang w:val="en-US"/>
        </w:rPr>
      </w:pPr>
      <w:r>
        <w:rPr>
          <w:i/>
          <w:lang w:val="en-US"/>
        </w:rPr>
        <w:t>3% Acetic Acid</w:t>
      </w:r>
      <w:r>
        <w:rPr>
          <w:i/>
          <w:lang w:val="en-US"/>
        </w:rPr>
        <w:tab/>
      </w:r>
      <w:r>
        <w:rPr>
          <w:i/>
          <w:lang w:val="en-US"/>
        </w:rPr>
        <w:tab/>
        <w:t>2 hours at 100°C</w:t>
      </w:r>
    </w:p>
    <w:p w:rsidR="00DE6FF3" w:rsidP="00DE6FF3" w:rsidRDefault="00DE6FF3" w14:paraId="7DCBDB3B" w14:textId="77777777">
      <w:pPr>
        <w:ind w:left="1548" w:firstLine="720"/>
        <w:rPr>
          <w:i/>
          <w:lang w:val="en-US"/>
        </w:rPr>
      </w:pPr>
      <w:r>
        <w:rPr>
          <w:i/>
          <w:lang w:val="en-US"/>
        </w:rPr>
        <w:t>10% Ethanol</w:t>
      </w:r>
      <w:r>
        <w:rPr>
          <w:i/>
          <w:lang w:val="en-US"/>
        </w:rPr>
        <w:tab/>
      </w:r>
      <w:r>
        <w:rPr>
          <w:i/>
          <w:lang w:val="en-US"/>
        </w:rPr>
        <w:tab/>
        <w:t>2 hours at 100°C</w:t>
      </w:r>
    </w:p>
    <w:p w:rsidR="00DE6FF3" w:rsidP="00DE6FF3" w:rsidRDefault="00DE6FF3" w14:paraId="10A66E35" w14:textId="77777777">
      <w:pPr>
        <w:ind w:left="1548" w:firstLine="720"/>
        <w:rPr>
          <w:i/>
          <w:lang w:val="en-US"/>
        </w:rPr>
      </w:pPr>
      <w:r>
        <w:rPr>
          <w:i/>
          <w:lang w:val="en-US"/>
        </w:rPr>
        <w:t>Vegetable oil</w:t>
      </w:r>
      <w:r>
        <w:rPr>
          <w:i/>
          <w:lang w:val="en-US"/>
        </w:rPr>
        <w:tab/>
      </w:r>
      <w:r>
        <w:rPr>
          <w:i/>
          <w:lang w:val="en-US"/>
        </w:rPr>
        <w:tab/>
        <w:t>1 hour at 121°C</w:t>
      </w:r>
      <w:r>
        <w:rPr>
          <w:i/>
          <w:lang w:val="en-US"/>
        </w:rPr>
        <w:tab/>
      </w:r>
    </w:p>
    <w:p w:rsidR="00DE6FF3" w:rsidP="00DE6FF3" w:rsidRDefault="00DE6FF3" w14:paraId="5BDE9FD3" w14:textId="77777777">
      <w:pPr>
        <w:rPr>
          <w:i/>
          <w:lang w:val="en-US"/>
        </w:rPr>
      </w:pPr>
    </w:p>
    <w:p w:rsidR="00DE6FF3" w:rsidP="00DE6FF3" w:rsidRDefault="00DE6FF3" w14:paraId="06A640D1" w14:textId="77777777">
      <w:pPr>
        <w:rPr>
          <w:i/>
          <w:lang w:val="en-US"/>
        </w:rPr>
      </w:pPr>
      <w:r>
        <w:rPr>
          <w:i/>
          <w:lang w:val="en-US"/>
        </w:rPr>
        <w:t>Specific migration of metals</w:t>
      </w:r>
    </w:p>
    <w:p w:rsidR="00DE6FF3" w:rsidP="00DE6FF3" w:rsidRDefault="00DE6FF3" w14:paraId="33113944" w14:textId="77777777">
      <w:pPr>
        <w:rPr>
          <w:i/>
          <w:lang w:val="en-US"/>
        </w:rPr>
      </w:pPr>
      <w:r>
        <w:rPr>
          <w:i/>
          <w:lang w:val="en-US"/>
        </w:rPr>
        <w:tab/>
      </w:r>
      <w:r>
        <w:rPr>
          <w:i/>
          <w:lang w:val="en-US"/>
        </w:rPr>
        <w:tab/>
      </w:r>
      <w:r>
        <w:rPr>
          <w:i/>
          <w:lang w:val="en-US"/>
        </w:rPr>
        <w:tab/>
      </w:r>
      <w:r>
        <w:rPr>
          <w:i/>
          <w:lang w:val="en-US"/>
        </w:rPr>
        <w:tab/>
        <w:t>3% Acetic Acid</w:t>
      </w:r>
      <w:r>
        <w:rPr>
          <w:i/>
          <w:lang w:val="en-US"/>
        </w:rPr>
        <w:tab/>
      </w:r>
      <w:r>
        <w:rPr>
          <w:i/>
          <w:lang w:val="en-US"/>
        </w:rPr>
        <w:tab/>
        <w:t>2 hours at 100°C</w:t>
      </w:r>
    </w:p>
    <w:p w:rsidR="00DE6FF3" w:rsidP="00DE6FF3" w:rsidRDefault="00DE6FF3" w14:paraId="36CEA70B" w14:textId="77777777">
      <w:pPr>
        <w:rPr>
          <w:i/>
          <w:lang w:val="en-US"/>
        </w:rPr>
      </w:pPr>
    </w:p>
    <w:p w:rsidR="00DE6FF3" w:rsidP="00DE6FF3" w:rsidRDefault="00DE6FF3" w14:paraId="30EB1375" w14:textId="77777777">
      <w:pPr>
        <w:rPr>
          <w:i/>
          <w:lang w:val="en-US"/>
        </w:rPr>
      </w:pPr>
      <w:r>
        <w:rPr>
          <w:i/>
          <w:lang w:val="en-US"/>
        </w:rPr>
        <w:t>Specific migration of phthalates</w:t>
      </w:r>
    </w:p>
    <w:p w:rsidR="00DE6FF3" w:rsidP="00DE6FF3" w:rsidRDefault="00DE6FF3" w14:paraId="45564DC4" w14:textId="77777777">
      <w:pPr>
        <w:rPr>
          <w:i/>
          <w:lang w:val="en-US"/>
        </w:rPr>
      </w:pPr>
      <w:r>
        <w:rPr>
          <w:i/>
          <w:lang w:val="en-US"/>
        </w:rPr>
        <w:tab/>
      </w:r>
      <w:r>
        <w:rPr>
          <w:i/>
          <w:lang w:val="en-US"/>
        </w:rPr>
        <w:tab/>
      </w:r>
      <w:r>
        <w:rPr>
          <w:i/>
          <w:lang w:val="en-US"/>
        </w:rPr>
        <w:tab/>
      </w:r>
      <w:r>
        <w:rPr>
          <w:i/>
          <w:lang w:val="en-US"/>
        </w:rPr>
        <w:tab/>
        <w:t>Isooctane</w:t>
      </w:r>
      <w:r>
        <w:rPr>
          <w:i/>
          <w:lang w:val="en-US"/>
        </w:rPr>
        <w:tab/>
      </w:r>
      <w:r>
        <w:rPr>
          <w:i/>
          <w:lang w:val="en-US"/>
        </w:rPr>
        <w:tab/>
      </w:r>
      <w:r>
        <w:rPr>
          <w:i/>
          <w:lang w:val="en-US"/>
        </w:rPr>
        <w:tab/>
        <w:t>2 hours at 60°C</w:t>
      </w:r>
    </w:p>
    <w:p w:rsidRPr="00F978B1" w:rsidR="00DE6FF3" w:rsidP="00DE6FF3" w:rsidRDefault="00DE6FF3" w14:paraId="1AF21F03" w14:textId="77777777">
      <w:pPr>
        <w:rPr>
          <w:lang w:val="en-US"/>
        </w:rPr>
      </w:pPr>
    </w:p>
    <w:p w:rsidR="00DE6FF3" w:rsidP="00DE6FF3" w:rsidRDefault="00DE6FF3" w14:paraId="559C8284" w14:textId="77777777">
      <w:pPr>
        <w:rPr>
          <w:lang w:val="en-US"/>
        </w:rPr>
      </w:pPr>
    </w:p>
    <w:p w:rsidRPr="00F978B1" w:rsidR="00DE6FF3" w:rsidP="00DE6FF3" w:rsidRDefault="00DE6FF3" w14:paraId="7047E648"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F978B1" w:rsidR="00DE6FF3" w:rsidP="00DE6FF3" w:rsidRDefault="00DE6FF3" w14:paraId="115A3A51" w14:textId="77777777">
      <w:pPr>
        <w:rPr>
          <w:lang w:val="en-US"/>
        </w:rPr>
      </w:pPr>
    </w:p>
    <w:p w:rsidR="00DE6FF3" w:rsidP="00DE6FF3" w:rsidRDefault="00DE6FF3" w14:paraId="4D7BE71A" w14:textId="77777777">
      <w:pPr>
        <w:rPr>
          <w:lang w:val="en-US"/>
        </w:rPr>
      </w:pPr>
      <w:r>
        <w:rPr>
          <w:lang w:val="en-US"/>
        </w:rPr>
        <w:t>No substances of dual use are present in the product.</w:t>
      </w:r>
    </w:p>
    <w:p w:rsidRPr="0057097B" w:rsidR="0057097B" w:rsidP="0057097B" w:rsidRDefault="0057097B" w14:paraId="693B911C" w14:textId="77777777">
      <w:pPr>
        <w:rPr>
          <w:lang w:val="en-US"/>
        </w:rPr>
      </w:pPr>
    </w:p>
    <w:p w:rsidRPr="0057097B" w:rsidR="0057097B" w:rsidP="0057097B" w:rsidRDefault="0057097B" w14:paraId="2D3AD243" w14:textId="77777777">
      <w:pPr>
        <w:rPr>
          <w:lang w:val="en-US"/>
        </w:rPr>
      </w:pPr>
      <w:r w:rsidRPr="0057097B">
        <w:rPr>
          <w:lang w:val="en-US"/>
        </w:rPr>
        <w:t>According to the document in our possession, Primary Aromatic Amines are below 10 ppb.</w:t>
      </w:r>
    </w:p>
    <w:p w:rsidRPr="0057097B" w:rsidR="0057097B" w:rsidP="0057097B" w:rsidRDefault="0057097B" w14:paraId="44A12E2E" w14:textId="77777777">
      <w:pPr>
        <w:rPr>
          <w:lang w:val="en-US"/>
        </w:rPr>
      </w:pPr>
    </w:p>
    <w:p w:rsidRPr="0057097B" w:rsidR="0057097B" w:rsidP="0057097B" w:rsidRDefault="0057097B" w14:paraId="76756C61" w14:textId="7F6B3EB0">
      <w:pPr>
        <w:rPr>
          <w:lang w:val="en-US"/>
        </w:rPr>
      </w:pPr>
      <w:r w:rsidRPr="0057097B">
        <w:rPr>
          <w:lang w:val="en-US"/>
        </w:rPr>
        <w:t xml:space="preserve">Please be advised that Duni </w:t>
      </w:r>
      <w:r w:rsidR="005E1731">
        <w:rPr>
          <w:lang w:val="en-US"/>
        </w:rPr>
        <w:t>Group</w:t>
      </w:r>
      <w:r w:rsidRPr="0057097B">
        <w:rPr>
          <w:lang w:val="en-US"/>
        </w:rPr>
        <w:t xml:space="preserve">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1"/>
      <w:footerReference w:type="default" r:id="rId12"/>
      <w:headerReference w:type="first" r:id="rId13"/>
      <w:footerReference w:type="first" r:id="rId14"/>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06CE318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F56D4F">
                            <w:rPr>
                              <w:noProof/>
                              <w:color w:val="948A54"/>
                              <w:sz w:val="16"/>
                              <w:szCs w:val="16"/>
                            </w:rPr>
                            <w:t>12061 PVC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06CE318F"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F56D4F">
                      <w:rPr>
                        <w:noProof/>
                        <w:color w:val="948A54"/>
                        <w:sz w:val="16"/>
                        <w:szCs w:val="16"/>
                      </w:rPr>
                      <w:t>12061 PVC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3" w:name="xxAddress"/>
        <w:bookmarkEnd w:id="3"/>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F56D4F"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295DB30E"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F56D4F">
                            <w:rPr>
                              <w:noProof/>
                              <w:color w:val="948A54"/>
                              <w:sz w:val="16"/>
                              <w:szCs w:val="16"/>
                            </w:rPr>
                            <w:t>12061 PVC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295DB30E"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F56D4F">
                      <w:rPr>
                        <w:noProof/>
                        <w:color w:val="948A54"/>
                        <w:sz w:val="16"/>
                        <w:szCs w:val="16"/>
                      </w:rPr>
                      <w:t>12061 PVC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2"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2F67F135" w:rsidR="005D125D" w:rsidRDefault="005D125D" w:rsidP="005D125D">
          <w:pPr>
            <w:pStyle w:val="Header"/>
            <w:jc w:val="right"/>
          </w:pPr>
          <w:r>
            <w:t xml:space="preserve">Issued </w:t>
          </w:r>
          <w:r w:rsidR="00DE6FF3">
            <w:t>2022-03-17</w:t>
          </w:r>
        </w:p>
        <w:p w14:paraId="588B9B2F" w14:textId="5A0B8650" w:rsidR="005D125D" w:rsidRDefault="005D125D" w:rsidP="005D125D">
          <w:pPr>
            <w:pStyle w:val="Header"/>
            <w:jc w:val="right"/>
          </w:pPr>
          <w:r>
            <w:t xml:space="preserve">Valid to </w:t>
          </w:r>
          <w:r w:rsidR="00DE6FF3">
            <w:t>2024-03-17</w:t>
          </w:r>
        </w:p>
        <w:p w14:paraId="305E0F74" w14:textId="1B6E11C5" w:rsidR="00D91429" w:rsidRDefault="005D125D" w:rsidP="005D125D">
          <w:pPr>
            <w:pStyle w:val="Header"/>
            <w:jc w:val="right"/>
          </w:pPr>
          <w:r>
            <w:t>Ver. 0</w:t>
          </w:r>
          <w:r w:rsidR="005E1731">
            <w:t>3</w:t>
          </w:r>
        </w:p>
      </w:tc>
    </w:tr>
    <w:bookmarkEnd w:id="2"/>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517E4F"/>
    <w:multiLevelType w:val="hybridMultilevel"/>
    <w:tmpl w:val="FB3A6762"/>
    <w:lvl w:ilvl="0" w:tplc="A0208DEC">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4" w15:restartNumberingAfterBreak="0">
    <w:nsid w:val="366A37D3"/>
    <w:multiLevelType w:val="multilevel"/>
    <w:tmpl w:val="ADDA3150"/>
    <w:numStyleLink w:val="CompanyListBullet"/>
  </w:abstractNum>
  <w:abstractNum w:abstractNumId="5"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6655CB9"/>
    <w:multiLevelType w:val="multilevel"/>
    <w:tmpl w:val="ADDA3150"/>
    <w:numStyleLink w:val="CompanyListBullet"/>
  </w:abstractNum>
  <w:abstractNum w:abstractNumId="8" w15:restartNumberingAfterBreak="0">
    <w:nsid w:val="4A9171D1"/>
    <w:multiLevelType w:val="multilevel"/>
    <w:tmpl w:val="2DE07950"/>
    <w:numStyleLink w:val="CompanyList"/>
  </w:abstractNum>
  <w:abstractNum w:abstractNumId="9" w15:restartNumberingAfterBreak="0">
    <w:nsid w:val="51B302BD"/>
    <w:multiLevelType w:val="multilevel"/>
    <w:tmpl w:val="ADDA3150"/>
    <w:numStyleLink w:val="CompanyListBullet"/>
  </w:abstractNum>
  <w:abstractNum w:abstractNumId="10" w15:restartNumberingAfterBreak="0">
    <w:nsid w:val="57D96724"/>
    <w:multiLevelType w:val="multilevel"/>
    <w:tmpl w:val="2DE07950"/>
    <w:numStyleLink w:val="CompanyList"/>
  </w:abstractNum>
  <w:abstractNum w:abstractNumId="11"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2"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1"/>
  </w:num>
  <w:num w:numId="4">
    <w:abstractNumId w:val="10"/>
  </w:num>
  <w:num w:numId="5">
    <w:abstractNumId w:val="3"/>
  </w:num>
  <w:num w:numId="6">
    <w:abstractNumId w:val="7"/>
  </w:num>
  <w:num w:numId="7">
    <w:abstractNumId w:val="4"/>
  </w:num>
  <w:num w:numId="8">
    <w:abstractNumId w:val="8"/>
  </w:num>
  <w:num w:numId="9">
    <w:abstractNumId w:val="9"/>
  </w:num>
  <w:num w:numId="10">
    <w:abstractNumId w:val="0"/>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5"/>
  </w:num>
  <w:num w:numId="21">
    <w:abstractNumId w:val="12"/>
  </w:num>
  <w:num w:numId="2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B7D96"/>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3A6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5FDB"/>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06B2"/>
    <w:rsid w:val="005E1731"/>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4D03"/>
    <w:rsid w:val="00707887"/>
    <w:rsid w:val="007118EF"/>
    <w:rsid w:val="00712270"/>
    <w:rsid w:val="00713672"/>
    <w:rsid w:val="007179F8"/>
    <w:rsid w:val="007209D8"/>
    <w:rsid w:val="007219D6"/>
    <w:rsid w:val="00721F2A"/>
    <w:rsid w:val="007226CA"/>
    <w:rsid w:val="007245EB"/>
    <w:rsid w:val="007258DE"/>
    <w:rsid w:val="0073195A"/>
    <w:rsid w:val="00731DF2"/>
    <w:rsid w:val="007342C3"/>
    <w:rsid w:val="00744416"/>
    <w:rsid w:val="0074506A"/>
    <w:rsid w:val="007473B8"/>
    <w:rsid w:val="0074776E"/>
    <w:rsid w:val="007507F8"/>
    <w:rsid w:val="007569C4"/>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27A27"/>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6FF3"/>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56D4F"/>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 w:type="table" w:styleId="LightList-Accent1">
    <w:name w:val="Light List Accent 1"/>
    <w:basedOn w:val="TableNormal"/>
    <w:uiPriority w:val="61"/>
    <w:rsid w:val="00731DF2"/>
    <w:rPr>
      <w:sz w:val="20"/>
      <w:szCs w:val="20"/>
      <w:lang w:val="sv-SE" w:eastAsia="sv-SE"/>
    </w:rPr>
    <w:tblPr>
      <w:tblStyleRowBandSize w:val="1"/>
      <w:tblStyleColBandSize w:val="1"/>
      <w:tblInd w:w="0" w:type="nil"/>
      <w:tblBorders>
        <w:top w:val="single" w:sz="8" w:space="0" w:color="39A6DD" w:themeColor="accent1"/>
        <w:left w:val="single" w:sz="8" w:space="0" w:color="39A6DD" w:themeColor="accent1"/>
        <w:bottom w:val="single" w:sz="8" w:space="0" w:color="39A6DD" w:themeColor="accent1"/>
        <w:right w:val="single" w:sz="8" w:space="0" w:color="39A6D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39A6DD" w:themeFill="accent1"/>
      </w:tcPr>
    </w:tblStylePr>
    <w:tblStylePr w:type="lastRow">
      <w:pPr>
        <w:spacing w:beforeLines="0" w:before="0" w:beforeAutospacing="0" w:afterLines="0" w:after="0" w:afterAutospacing="0" w:line="240" w:lineRule="auto"/>
      </w:pPr>
      <w:rPr>
        <w:b/>
        <w:bCs/>
      </w:rPr>
      <w:tblPr/>
      <w:tcPr>
        <w:tcBorders>
          <w:top w:val="double" w:sz="6" w:space="0" w:color="39A6DD" w:themeColor="accent1"/>
          <w:left w:val="single" w:sz="8" w:space="0" w:color="39A6DD" w:themeColor="accent1"/>
          <w:bottom w:val="single" w:sz="8" w:space="0" w:color="39A6DD" w:themeColor="accent1"/>
          <w:right w:val="single" w:sz="8" w:space="0" w:color="39A6DD" w:themeColor="accent1"/>
        </w:tcBorders>
      </w:tcPr>
    </w:tblStylePr>
    <w:tblStylePr w:type="firstCol">
      <w:rPr>
        <w:b/>
        <w:bCs/>
      </w:rPr>
    </w:tblStylePr>
    <w:tblStylePr w:type="lastCol">
      <w:rPr>
        <w:b/>
        <w:bCs/>
      </w:rPr>
    </w:tblStylePr>
    <w:tblStylePr w:type="band1Vert">
      <w:tblPr/>
      <w:tcPr>
        <w:tcBorders>
          <w:top w:val="single" w:sz="8" w:space="0" w:color="39A6DD" w:themeColor="accent1"/>
          <w:left w:val="single" w:sz="8" w:space="0" w:color="39A6DD" w:themeColor="accent1"/>
          <w:bottom w:val="single" w:sz="8" w:space="0" w:color="39A6DD" w:themeColor="accent1"/>
          <w:right w:val="single" w:sz="8" w:space="0" w:color="39A6DD" w:themeColor="accent1"/>
        </w:tcBorders>
      </w:tcPr>
    </w:tblStylePr>
    <w:tblStylePr w:type="band1Horz">
      <w:tblPr/>
      <w:tcPr>
        <w:tcBorders>
          <w:top w:val="single" w:sz="8" w:space="0" w:color="39A6DD" w:themeColor="accent1"/>
          <w:left w:val="single" w:sz="8" w:space="0" w:color="39A6DD" w:themeColor="accent1"/>
          <w:bottom w:val="single" w:sz="8" w:space="0" w:color="39A6DD" w:themeColor="accent1"/>
          <w:right w:val="single" w:sz="8" w:space="0" w:color="39A6D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837696751">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B98E1-AB03-48F2-BFF9-FB8BC4A4477A}">
  <ds:schemaRefs>
    <ds:schemaRef ds:uri="http://schemas.openxmlformats.org/officeDocument/2006/bibliography"/>
  </ds:schemaRefs>
</ds:datastoreItem>
</file>

<file path=customXml/itemProps2.xml><?xml version="1.0" encoding="utf-8"?>
<ds:datastoreItem xmlns:ds="http://schemas.openxmlformats.org/officeDocument/2006/customXml" ds:itemID="{9CCC338A-63A0-4675-8CC1-FD74CBBA5646}">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6bedf33b-10a2-4680-81d7-9b2d8be85e7c"/>
    <ds:schemaRef ds:uri="a2158ebd-4a61-46c2-9e5a-780f6e766b9f"/>
    <ds:schemaRef ds:uri="http://schemas.microsoft.com/office/2006/metadata/properties"/>
    <ds:schemaRef ds:uri="http://schemas.microsoft.com/sharepoint/v3"/>
    <ds:schemaRef ds:uri="http://www.w3.org/XML/1998/namespace"/>
    <ds:schemaRef ds:uri="http://purl.org/dc/terms/"/>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4.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348</Words>
  <Characters>1860</Characters>
  <Application>Microsoft Office Word</Application>
  <DocSecurity>2</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2022-03-17T12:22:00Z</cp:lastPrinted>
  <dcterms:created xsi:type="dcterms:W3CDTF">2022-03-17T12:22:00Z</dcterms:created>
  <dcterms:modified xsi:type="dcterms:W3CDTF">2022-03-17T12:22:00Z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